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4772" w14:textId="566EB3AC" w:rsidR="00583835" w:rsidRDefault="00340BC8" w:rsidP="004C240D">
      <w:pPr>
        <w:pStyle w:val="Nadpis1"/>
      </w:pPr>
      <w:r>
        <w:br/>
      </w:r>
      <w:r w:rsidR="002A0728">
        <w:t>Téměř p</w:t>
      </w:r>
      <w:r w:rsidR="000850B0">
        <w:t xml:space="preserve">olovina Čechů </w:t>
      </w:r>
      <w:r w:rsidR="006541FB">
        <w:t>kvůli</w:t>
      </w:r>
      <w:r w:rsidR="000850B0">
        <w:t xml:space="preserve"> </w:t>
      </w:r>
      <w:r w:rsidR="00331D34">
        <w:t>nemožnosti</w:t>
      </w:r>
      <w:r w:rsidR="000850B0">
        <w:t xml:space="preserve"> </w:t>
      </w:r>
      <w:r w:rsidR="006541FB">
        <w:t>za</w:t>
      </w:r>
      <w:r w:rsidR="000850B0">
        <w:t>platit kartou nákup</w:t>
      </w:r>
      <w:r w:rsidR="0022250F">
        <w:t xml:space="preserve"> neuskuteční</w:t>
      </w:r>
      <w:r w:rsidR="000850B0">
        <w:t xml:space="preserve">, </w:t>
      </w:r>
      <w:r w:rsidR="002E3023">
        <w:t>říká</w:t>
      </w:r>
      <w:r w:rsidR="000850B0">
        <w:t xml:space="preserve"> průzkum</w:t>
      </w:r>
      <w:r w:rsidR="007202C7">
        <w:t xml:space="preserve"> </w:t>
      </w:r>
      <w:r w:rsidR="00DA03FF" w:rsidRPr="00DA03FF">
        <w:t>KB SmartPay</w:t>
      </w:r>
    </w:p>
    <w:p w14:paraId="1ECB0DF3" w14:textId="48BBEECD" w:rsidR="00583835" w:rsidRPr="004351F3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 xml:space="preserve">Praha </w:t>
      </w:r>
      <w:r w:rsidR="008B7134">
        <w:rPr>
          <w:rFonts w:ascii="Calibri" w:hAnsi="Calibri" w:cs="Calibri"/>
        </w:rPr>
        <w:t>18</w:t>
      </w:r>
      <w:r w:rsidRPr="004351F3">
        <w:rPr>
          <w:rFonts w:ascii="Calibri" w:hAnsi="Calibri" w:cs="Calibri"/>
        </w:rPr>
        <w:t>. ledna 2023</w:t>
      </w:r>
    </w:p>
    <w:p w14:paraId="4DCE70D4" w14:textId="2715D541" w:rsidR="00EA381B" w:rsidRPr="008B7134" w:rsidRDefault="008F7310" w:rsidP="008B7134">
      <w:pPr>
        <w:pStyle w:val="Nadpis1"/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B7134">
        <w:rPr>
          <w:rFonts w:ascii="Calibri" w:hAnsi="Calibri" w:cs="Calibri"/>
          <w:b/>
          <w:bCs/>
          <w:sz w:val="24"/>
          <w:szCs w:val="24"/>
        </w:rPr>
        <w:t>V případě, že prodejce nepřijímá karty a zákazník u sebe nemá dostatek hotovosti, téměř v</w:t>
      </w:r>
      <w:r w:rsidR="00876043">
        <w:rPr>
          <w:rFonts w:ascii="Calibri" w:hAnsi="Calibri" w:cs="Calibri"/>
          <w:b/>
          <w:bCs/>
          <w:sz w:val="24"/>
          <w:szCs w:val="24"/>
        </w:rPr>
        <w:t> </w:t>
      </w:r>
      <w:r w:rsidRPr="008B7134">
        <w:rPr>
          <w:rFonts w:ascii="Calibri" w:hAnsi="Calibri" w:cs="Calibri"/>
          <w:b/>
          <w:bCs/>
          <w:sz w:val="24"/>
          <w:szCs w:val="24"/>
        </w:rPr>
        <w:t>polovině případů se obchod neuskuteční a zákazník odchází ke konkurenci – vyplývá</w:t>
      </w:r>
      <w:r w:rsidR="0090623B" w:rsidRPr="008B7134">
        <w:rPr>
          <w:rFonts w:ascii="Calibri" w:hAnsi="Calibri" w:cs="Calibri"/>
          <w:b/>
          <w:bCs/>
          <w:sz w:val="24"/>
          <w:szCs w:val="24"/>
        </w:rPr>
        <w:t xml:space="preserve"> to</w:t>
      </w:r>
      <w:r w:rsidRPr="008B7134">
        <w:rPr>
          <w:rFonts w:ascii="Calibri" w:hAnsi="Calibri" w:cs="Calibri"/>
          <w:b/>
          <w:bCs/>
          <w:sz w:val="24"/>
          <w:szCs w:val="24"/>
        </w:rPr>
        <w:t xml:space="preserve"> z</w:t>
      </w:r>
      <w:r w:rsidR="00876043">
        <w:rPr>
          <w:rFonts w:ascii="Calibri" w:hAnsi="Calibri" w:cs="Calibri"/>
          <w:b/>
          <w:bCs/>
          <w:sz w:val="24"/>
          <w:szCs w:val="24"/>
        </w:rPr>
        <w:t> </w:t>
      </w:r>
      <w:r w:rsidRPr="008B7134">
        <w:rPr>
          <w:rFonts w:ascii="Calibri" w:hAnsi="Calibri" w:cs="Calibri"/>
          <w:b/>
          <w:bCs/>
          <w:sz w:val="24"/>
          <w:szCs w:val="24"/>
        </w:rPr>
        <w:t>průzkumu KB</w:t>
      </w:r>
      <w:r w:rsidR="0090623B" w:rsidRPr="008B713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B7134">
        <w:rPr>
          <w:rFonts w:ascii="Calibri" w:hAnsi="Calibri" w:cs="Calibri"/>
          <w:b/>
          <w:bCs/>
          <w:sz w:val="24"/>
          <w:szCs w:val="24"/>
        </w:rPr>
        <w:t>SmartPay</w:t>
      </w:r>
      <w:proofErr w:type="spellEnd"/>
      <w:r w:rsidRPr="008B7134">
        <w:rPr>
          <w:rFonts w:ascii="Calibri" w:hAnsi="Calibri" w:cs="Calibri"/>
          <w:b/>
          <w:bCs/>
          <w:sz w:val="24"/>
          <w:szCs w:val="24"/>
        </w:rPr>
        <w:t xml:space="preserve">. Jen něco málo přes </w:t>
      </w:r>
      <w:r w:rsidR="00251E95">
        <w:rPr>
          <w:rFonts w:ascii="Calibri" w:hAnsi="Calibri" w:cs="Calibri"/>
          <w:b/>
          <w:bCs/>
          <w:sz w:val="24"/>
          <w:szCs w:val="24"/>
        </w:rPr>
        <w:t>50</w:t>
      </w:r>
      <w:r w:rsidR="008B7134">
        <w:rPr>
          <w:rFonts w:ascii="Calibri" w:hAnsi="Calibri" w:cs="Calibri"/>
          <w:b/>
          <w:bCs/>
          <w:sz w:val="24"/>
          <w:szCs w:val="24"/>
        </w:rPr>
        <w:t xml:space="preserve"> procent</w:t>
      </w:r>
      <w:r w:rsidRPr="008B7134">
        <w:rPr>
          <w:rFonts w:ascii="Calibri" w:hAnsi="Calibri" w:cs="Calibri"/>
          <w:b/>
          <w:bCs/>
          <w:sz w:val="24"/>
          <w:szCs w:val="24"/>
        </w:rPr>
        <w:t xml:space="preserve"> zákazníků v takovém případě </w:t>
      </w:r>
      <w:r w:rsidR="00EA381B" w:rsidRPr="008B7134">
        <w:rPr>
          <w:rFonts w:ascii="Calibri" w:hAnsi="Calibri" w:cs="Calibri"/>
          <w:b/>
          <w:bCs/>
          <w:sz w:val="24"/>
          <w:szCs w:val="24"/>
        </w:rPr>
        <w:t xml:space="preserve">jde </w:t>
      </w:r>
      <w:r w:rsidRPr="008B7134">
        <w:rPr>
          <w:rFonts w:ascii="Calibri" w:hAnsi="Calibri" w:cs="Calibri"/>
          <w:b/>
          <w:bCs/>
          <w:sz w:val="24"/>
          <w:szCs w:val="24"/>
        </w:rPr>
        <w:t>vyhledat nejbližší bankoma</w:t>
      </w:r>
      <w:r w:rsidR="00242D46">
        <w:rPr>
          <w:rFonts w:ascii="Calibri" w:hAnsi="Calibri" w:cs="Calibri"/>
          <w:b/>
          <w:bCs/>
          <w:sz w:val="24"/>
          <w:szCs w:val="24"/>
        </w:rPr>
        <w:t xml:space="preserve">t a </w:t>
      </w:r>
      <w:r w:rsidR="004D1FA4">
        <w:rPr>
          <w:rFonts w:ascii="Calibri" w:hAnsi="Calibri" w:cs="Calibri"/>
          <w:b/>
          <w:bCs/>
          <w:sz w:val="24"/>
          <w:szCs w:val="24"/>
        </w:rPr>
        <w:t>vrátí</w:t>
      </w:r>
      <w:r w:rsidR="00242D46">
        <w:rPr>
          <w:rFonts w:ascii="Calibri" w:hAnsi="Calibri" w:cs="Calibri"/>
          <w:b/>
          <w:bCs/>
          <w:sz w:val="24"/>
          <w:szCs w:val="24"/>
        </w:rPr>
        <w:t xml:space="preserve"> se zpět</w:t>
      </w:r>
      <w:r w:rsidRPr="008B7134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0C04E039" w14:textId="77777777" w:rsidR="008F7310" w:rsidRDefault="008F7310" w:rsidP="0085093C">
      <w:pPr>
        <w:jc w:val="both"/>
        <w:rPr>
          <w:rFonts w:ascii="Calibri" w:hAnsi="Calibri" w:cs="Calibri"/>
          <w:b/>
          <w:bCs/>
        </w:rPr>
      </w:pPr>
    </w:p>
    <w:p w14:paraId="00867114" w14:textId="77777777" w:rsidR="00D45A15" w:rsidRDefault="00D45A15" w:rsidP="008B7134">
      <w:pPr>
        <w:pStyle w:val="Nadpis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„Prosím kartou. Neberete? Tak se mějte“</w:t>
      </w:r>
    </w:p>
    <w:p w14:paraId="40ACBC85" w14:textId="4DA436C7" w:rsidR="00D45A15" w:rsidRDefault="00F6005D" w:rsidP="00331D34">
      <w:pPr>
        <w:jc w:val="both"/>
      </w:pPr>
      <w:r w:rsidRPr="00C3232E">
        <w:rPr>
          <w:i/>
          <w:iCs/>
          <w:noProof/>
        </w:rPr>
        <w:drawing>
          <wp:anchor distT="0" distB="0" distL="114300" distR="114300" simplePos="0" relativeHeight="251658241" behindDoc="0" locked="0" layoutInCell="1" allowOverlap="1" wp14:anchorId="2133F108" wp14:editId="637E34A2">
            <wp:simplePos x="0" y="0"/>
            <wp:positionH relativeFrom="margin">
              <wp:align>right</wp:align>
            </wp:positionH>
            <wp:positionV relativeFrom="paragraph">
              <wp:posOffset>1098550</wp:posOffset>
            </wp:positionV>
            <wp:extent cx="5731510" cy="4237355"/>
            <wp:effectExtent l="0" t="0" r="2540" b="10795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C3232E" w:rsidRPr="00C3232E">
        <w:rPr>
          <w:i/>
          <w:iCs/>
        </w:rPr>
        <w:t>„</w:t>
      </w:r>
      <w:r w:rsidR="00D45A15" w:rsidRPr="00C3232E">
        <w:rPr>
          <w:i/>
          <w:iCs/>
        </w:rPr>
        <w:t xml:space="preserve">39 % </w:t>
      </w:r>
      <w:r w:rsidR="00434471" w:rsidRPr="00C3232E">
        <w:rPr>
          <w:i/>
          <w:iCs/>
        </w:rPr>
        <w:t>dotázaných</w:t>
      </w:r>
      <w:r w:rsidR="00D45A15" w:rsidRPr="00C3232E">
        <w:rPr>
          <w:i/>
          <w:iCs/>
        </w:rPr>
        <w:t xml:space="preserve"> se v posledním měsíci ocitl</w:t>
      </w:r>
      <w:r w:rsidR="0086267A" w:rsidRPr="00C3232E">
        <w:rPr>
          <w:i/>
          <w:iCs/>
        </w:rPr>
        <w:t>o</w:t>
      </w:r>
      <w:r w:rsidR="00D45A15" w:rsidRPr="00C3232E">
        <w:rPr>
          <w:i/>
          <w:iCs/>
        </w:rPr>
        <w:t xml:space="preserve"> v situaci, kdy nemohli zaplatit bezkontaktně</w:t>
      </w:r>
      <w:r w:rsidR="00C3232E">
        <w:rPr>
          <w:i/>
          <w:iCs/>
        </w:rPr>
        <w:t>. To je jeden z</w:t>
      </w:r>
      <w:r w:rsidR="005E42F0">
        <w:rPr>
          <w:i/>
          <w:iCs/>
        </w:rPr>
        <w:t>e zajímavých</w:t>
      </w:r>
      <w:r w:rsidR="00C3232E">
        <w:rPr>
          <w:i/>
          <w:iCs/>
        </w:rPr>
        <w:t> údajů pocházejících</w:t>
      </w:r>
      <w:r w:rsidR="00D45A15" w:rsidRPr="00C3232E">
        <w:rPr>
          <w:i/>
          <w:iCs/>
        </w:rPr>
        <w:t xml:space="preserve"> z</w:t>
      </w:r>
      <w:r w:rsidR="00875BAA">
        <w:rPr>
          <w:i/>
          <w:iCs/>
        </w:rPr>
        <w:t> </w:t>
      </w:r>
      <w:r w:rsidR="00C3232E">
        <w:rPr>
          <w:i/>
          <w:iCs/>
        </w:rPr>
        <w:t>našeho</w:t>
      </w:r>
      <w:r w:rsidR="00875BAA">
        <w:rPr>
          <w:i/>
          <w:iCs/>
        </w:rPr>
        <w:t xml:space="preserve"> aktuálního</w:t>
      </w:r>
      <w:r w:rsidR="00C3232E">
        <w:rPr>
          <w:i/>
          <w:iCs/>
        </w:rPr>
        <w:t xml:space="preserve"> </w:t>
      </w:r>
      <w:r w:rsidR="00D45A15" w:rsidRPr="00C3232E">
        <w:rPr>
          <w:i/>
          <w:iCs/>
        </w:rPr>
        <w:t>průzkumu</w:t>
      </w:r>
      <w:r w:rsidR="00DC7C4D">
        <w:rPr>
          <w:i/>
          <w:iCs/>
        </w:rPr>
        <w:t>. V něm jsme se zaměřili</w:t>
      </w:r>
      <w:r w:rsidR="00E763B7" w:rsidRPr="00C3232E">
        <w:rPr>
          <w:i/>
          <w:iCs/>
        </w:rPr>
        <w:t xml:space="preserve"> na chování spojené s bezkontaktními platbami</w:t>
      </w:r>
      <w:r w:rsidR="00C3232E" w:rsidRPr="00C3232E">
        <w:rPr>
          <w:i/>
          <w:iCs/>
        </w:rPr>
        <w:t>,“</w:t>
      </w:r>
      <w:r w:rsidR="00D45A15">
        <w:t xml:space="preserve"> </w:t>
      </w:r>
      <w:r w:rsidR="00676B1C">
        <w:t>říká Jitka Pal</w:t>
      </w:r>
      <w:r w:rsidR="00CE6EF8">
        <w:t>a</w:t>
      </w:r>
      <w:r w:rsidR="00676B1C">
        <w:t xml:space="preserve">tová, generální ředitelka KB SmartPay. </w:t>
      </w:r>
      <w:r w:rsidR="002D38A7" w:rsidRPr="002D38A7">
        <w:rPr>
          <w:i/>
          <w:iCs/>
        </w:rPr>
        <w:t>„</w:t>
      </w:r>
      <w:r w:rsidR="00D45A15" w:rsidRPr="002D38A7">
        <w:rPr>
          <w:i/>
          <w:iCs/>
        </w:rPr>
        <w:t>Pokud</w:t>
      </w:r>
      <w:r w:rsidR="00D2210E" w:rsidRPr="002D38A7">
        <w:rPr>
          <w:i/>
          <w:iCs/>
        </w:rPr>
        <w:t xml:space="preserve"> však</w:t>
      </w:r>
      <w:r w:rsidR="00D45A15" w:rsidRPr="002D38A7">
        <w:rPr>
          <w:i/>
          <w:iCs/>
        </w:rPr>
        <w:t xml:space="preserve"> v této situaci</w:t>
      </w:r>
      <w:r w:rsidR="00D2210E" w:rsidRPr="002D38A7">
        <w:rPr>
          <w:i/>
          <w:iCs/>
        </w:rPr>
        <w:t xml:space="preserve"> zákazníci</w:t>
      </w:r>
      <w:r w:rsidR="00D45A15" w:rsidRPr="002D38A7">
        <w:rPr>
          <w:i/>
          <w:iCs/>
        </w:rPr>
        <w:t xml:space="preserve"> nemají</w:t>
      </w:r>
      <w:r w:rsidR="00D2210E" w:rsidRPr="002D38A7">
        <w:rPr>
          <w:i/>
          <w:iCs/>
        </w:rPr>
        <w:t xml:space="preserve"> po ruce</w:t>
      </w:r>
      <w:r w:rsidR="00D45A15" w:rsidRPr="002D38A7">
        <w:rPr>
          <w:i/>
          <w:iCs/>
        </w:rPr>
        <w:t xml:space="preserve"> odpovídající hotovost, zkrachuje na tom až polovina obchodů</w:t>
      </w:r>
      <w:r w:rsidR="002D38A7" w:rsidRPr="002D38A7">
        <w:rPr>
          <w:i/>
          <w:iCs/>
        </w:rPr>
        <w:t>,“</w:t>
      </w:r>
      <w:r w:rsidR="002D38A7">
        <w:t xml:space="preserve"> pokračuje.</w:t>
      </w:r>
    </w:p>
    <w:p w14:paraId="15D0D225" w14:textId="0A5E5716" w:rsidR="00881CF0" w:rsidRDefault="00881CF0" w:rsidP="00D45A15"/>
    <w:p w14:paraId="492C4142" w14:textId="0ABC9154" w:rsidR="00FD147F" w:rsidRPr="00734F9D" w:rsidRDefault="00734F9D" w:rsidP="00734F9D">
      <w:r>
        <w:br w:type="column"/>
      </w:r>
      <w:r w:rsidR="000A2B15" w:rsidRPr="004351F3">
        <w:rPr>
          <w:b/>
          <w:bCs/>
          <w:sz w:val="26"/>
          <w:szCs w:val="26"/>
        </w:rPr>
        <w:lastRenderedPageBreak/>
        <w:t>Přes dvě třetiny z nás platí kartou neustále</w:t>
      </w:r>
    </w:p>
    <w:p w14:paraId="2F76D719" w14:textId="031F94BE" w:rsidR="000A2B15" w:rsidRDefault="003B3028" w:rsidP="00331D34">
      <w:pPr>
        <w:jc w:val="both"/>
      </w:pPr>
      <w:r>
        <w:t xml:space="preserve">95 % </w:t>
      </w:r>
      <w:r w:rsidR="003579E1">
        <w:t>obyvatel ČR</w:t>
      </w:r>
      <w:r>
        <w:t xml:space="preserve"> platí</w:t>
      </w:r>
      <w:r w:rsidR="00DC6C95">
        <w:t xml:space="preserve"> </w:t>
      </w:r>
      <w:r w:rsidR="00053CA2">
        <w:t>bezhotovostně</w:t>
      </w:r>
      <w:r w:rsidR="00DC6C95">
        <w:t>.</w:t>
      </w:r>
      <w:r>
        <w:t xml:space="preserve"> </w:t>
      </w:r>
      <w:r w:rsidR="003D57B8">
        <w:t>Z</w:t>
      </w:r>
      <w:r w:rsidR="00B83AB1">
        <w:t>cela dominantn</w:t>
      </w:r>
      <w:r w:rsidR="003D57B8">
        <w:t>ě</w:t>
      </w:r>
      <w:r w:rsidR="00B83AB1">
        <w:t xml:space="preserve"> </w:t>
      </w:r>
      <w:r w:rsidR="009066A4">
        <w:t xml:space="preserve">využívá </w:t>
      </w:r>
      <w:r w:rsidR="00B83AB1">
        <w:t>b</w:t>
      </w:r>
      <w:r w:rsidR="000A2B15">
        <w:t>ezhotovostní platby</w:t>
      </w:r>
      <w:r w:rsidR="009066A4">
        <w:t xml:space="preserve"> </w:t>
      </w:r>
      <w:r w:rsidR="000A2B15">
        <w:t xml:space="preserve">68 % dotázaných, </w:t>
      </w:r>
      <w:r w:rsidR="00B60A55">
        <w:t>zbylých</w:t>
      </w:r>
      <w:r w:rsidR="004351F3">
        <w:t xml:space="preserve"> 27 %</w:t>
      </w:r>
      <w:r>
        <w:t xml:space="preserve"> </w:t>
      </w:r>
      <w:r w:rsidR="00C45E4D">
        <w:t xml:space="preserve">pak </w:t>
      </w:r>
      <w:r w:rsidR="00CB2CC9">
        <w:t>platby</w:t>
      </w:r>
      <w:r w:rsidR="00720C1F">
        <w:t xml:space="preserve"> </w:t>
      </w:r>
      <w:r w:rsidR="00C45E4D">
        <w:t>kart</w:t>
      </w:r>
      <w:r w:rsidR="00CB2CC9">
        <w:t>ou</w:t>
      </w:r>
      <w:r w:rsidR="00720C1F">
        <w:t xml:space="preserve"> a v</w:t>
      </w:r>
      <w:r w:rsidR="00512825">
        <w:t> </w:t>
      </w:r>
      <w:r w:rsidR="00720C1F">
        <w:t>hotovosti</w:t>
      </w:r>
      <w:r w:rsidR="00C45E4D">
        <w:t xml:space="preserve"> střídá.</w:t>
      </w:r>
    </w:p>
    <w:p w14:paraId="5F35FA92" w14:textId="6645F6C4" w:rsidR="00394863" w:rsidRDefault="00B8069F" w:rsidP="00331D34">
      <w:pPr>
        <w:jc w:val="both"/>
      </w:pPr>
      <w:r>
        <w:t>Ti, kdo bezhotovostní platby využívají, dále uváděli</w:t>
      </w:r>
      <w:r w:rsidR="00270046">
        <w:t>, jakou formou je nejčastěji provádějí</w:t>
      </w:r>
      <w:r>
        <w:t>:</w:t>
      </w:r>
      <w:r w:rsidR="00D54E2C">
        <w:t xml:space="preserve"> pro 74 % </w:t>
      </w:r>
      <w:r w:rsidR="000C1E27">
        <w:t xml:space="preserve">z nich </w:t>
      </w:r>
      <w:r w:rsidR="00D54E2C">
        <w:t xml:space="preserve">zůstává </w:t>
      </w:r>
      <w:r w:rsidR="00512825">
        <w:t xml:space="preserve">klasická </w:t>
      </w:r>
      <w:r w:rsidR="00D54E2C">
        <w:t xml:space="preserve">platební karta </w:t>
      </w:r>
      <w:r w:rsidR="0037643C">
        <w:t>číslem jedna, skoro čtvrtina pak uvádí jako nejčastější platbu s pomocí chytrého telefonu</w:t>
      </w:r>
      <w:r w:rsidR="00394863">
        <w:t xml:space="preserve"> – </w:t>
      </w:r>
      <w:r w:rsidR="00BC5525">
        <w:t xml:space="preserve">v tomto případě jde </w:t>
      </w:r>
      <w:r w:rsidR="00394863">
        <w:t>častěji o muže (29 %), naopak ženy jso</w:t>
      </w:r>
      <w:r w:rsidR="000B3492">
        <w:t>u v platbách smartphonem zdrženlivější (16 %).</w:t>
      </w:r>
    </w:p>
    <w:p w14:paraId="3BD089FA" w14:textId="6EE89242" w:rsidR="00B8069F" w:rsidRDefault="00F6005D" w:rsidP="00331D34">
      <w:pPr>
        <w:jc w:val="both"/>
      </w:pPr>
      <w:r w:rsidRPr="00F52B2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24D6528" wp14:editId="09A6D51A">
            <wp:simplePos x="0" y="0"/>
            <wp:positionH relativeFrom="margin">
              <wp:align>right</wp:align>
            </wp:positionH>
            <wp:positionV relativeFrom="paragraph">
              <wp:posOffset>547370</wp:posOffset>
            </wp:positionV>
            <wp:extent cx="5731510" cy="4237355"/>
            <wp:effectExtent l="0" t="0" r="2540" b="10795"/>
            <wp:wrapSquare wrapText="bothSides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CA7BDA">
        <w:t xml:space="preserve">Platby chytrými hodinkami </w:t>
      </w:r>
      <w:r w:rsidR="00E31320">
        <w:t xml:space="preserve">využívá nejvíce </w:t>
      </w:r>
      <w:r w:rsidR="00CA7BDA">
        <w:t>věkov</w:t>
      </w:r>
      <w:r w:rsidR="00E31320">
        <w:t>á</w:t>
      </w:r>
      <w:r w:rsidR="00CA7BDA">
        <w:t xml:space="preserve"> skupin</w:t>
      </w:r>
      <w:r w:rsidR="00E31320">
        <w:t>a</w:t>
      </w:r>
      <w:r w:rsidR="00CA7BDA">
        <w:t xml:space="preserve"> 36 </w:t>
      </w:r>
      <w:r w:rsidR="00C35028">
        <w:t>až</w:t>
      </w:r>
      <w:r w:rsidR="00CA7BDA">
        <w:t xml:space="preserve"> 44 let, </w:t>
      </w:r>
      <w:r w:rsidR="00945C41">
        <w:t xml:space="preserve">i tam však </w:t>
      </w:r>
      <w:r w:rsidR="00160686">
        <w:t xml:space="preserve">prozatím </w:t>
      </w:r>
      <w:r w:rsidR="00291A4A">
        <w:t xml:space="preserve">hodinky </w:t>
      </w:r>
      <w:r w:rsidR="00945C41">
        <w:t>tvoří jen něco přes 9 % nejčastějšího způsobu pla</w:t>
      </w:r>
      <w:r w:rsidR="003B3FBD">
        <w:t>cení</w:t>
      </w:r>
      <w:r w:rsidR="00945C41">
        <w:t>.</w:t>
      </w:r>
    </w:p>
    <w:p w14:paraId="21D8D612" w14:textId="77777777" w:rsidR="00F6005D" w:rsidRDefault="00F6005D" w:rsidP="00E71193">
      <w:pPr>
        <w:pStyle w:val="Nadpis1"/>
        <w:rPr>
          <w:b/>
          <w:bCs/>
          <w:sz w:val="26"/>
          <w:szCs w:val="26"/>
        </w:rPr>
      </w:pPr>
    </w:p>
    <w:p w14:paraId="3F1F1463" w14:textId="1EFB181D" w:rsidR="00E71193" w:rsidRPr="00E71193" w:rsidRDefault="00E71193" w:rsidP="00E71193">
      <w:pPr>
        <w:pStyle w:val="Nadpis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Platba kartou jako samozřejmost</w:t>
      </w:r>
    </w:p>
    <w:p w14:paraId="47A95903" w14:textId="655750A7" w:rsidR="006E0B08" w:rsidRDefault="006E0B08" w:rsidP="00876043">
      <w:pPr>
        <w:jc w:val="both"/>
      </w:pPr>
      <w:r>
        <w:t>18 % dotázaných uvedlo, že u sebe hotovost už běžně ani nenosí.</w:t>
      </w:r>
      <w:r w:rsidR="00E71193">
        <w:t xml:space="preserve"> </w:t>
      </w:r>
      <w:r w:rsidR="00E71193" w:rsidRPr="00340BC8">
        <w:rPr>
          <w:rFonts w:ascii="Calibri" w:hAnsi="Calibri" w:cs="Calibri"/>
        </w:rPr>
        <w:t xml:space="preserve">Obchodníci, kteří bezhotovostní platby zavedli, </w:t>
      </w:r>
      <w:r w:rsidR="00B00B26">
        <w:rPr>
          <w:rFonts w:ascii="Calibri" w:hAnsi="Calibri" w:cs="Calibri"/>
        </w:rPr>
        <w:t>se pak</w:t>
      </w:r>
      <w:r w:rsidR="00E71193">
        <w:rPr>
          <w:rFonts w:ascii="Calibri" w:hAnsi="Calibri" w:cs="Calibri"/>
        </w:rPr>
        <w:t xml:space="preserve"> ve většině</w:t>
      </w:r>
      <w:r w:rsidR="00E71193" w:rsidRPr="00340BC8">
        <w:rPr>
          <w:rFonts w:ascii="Calibri" w:hAnsi="Calibri" w:cs="Calibri"/>
        </w:rPr>
        <w:t xml:space="preserve"> případ</w:t>
      </w:r>
      <w:r w:rsidR="00E71193">
        <w:rPr>
          <w:rFonts w:ascii="Calibri" w:hAnsi="Calibri" w:cs="Calibri"/>
        </w:rPr>
        <w:t>ů</w:t>
      </w:r>
      <w:r w:rsidR="00E71193" w:rsidRPr="00340BC8">
        <w:rPr>
          <w:rFonts w:ascii="Calibri" w:hAnsi="Calibri" w:cs="Calibri"/>
        </w:rPr>
        <w:t xml:space="preserve"> </w:t>
      </w:r>
      <w:r w:rsidR="00B00B26">
        <w:rPr>
          <w:rFonts w:ascii="Calibri" w:hAnsi="Calibri" w:cs="Calibri"/>
        </w:rPr>
        <w:t>dočkali</w:t>
      </w:r>
      <w:r w:rsidR="00E71193" w:rsidRPr="00340BC8">
        <w:rPr>
          <w:rFonts w:ascii="Calibri" w:hAnsi="Calibri" w:cs="Calibri"/>
        </w:rPr>
        <w:t xml:space="preserve"> růst</w:t>
      </w:r>
      <w:r w:rsidR="00B00B26">
        <w:rPr>
          <w:rFonts w:ascii="Calibri" w:hAnsi="Calibri" w:cs="Calibri"/>
        </w:rPr>
        <w:t>u</w:t>
      </w:r>
      <w:r w:rsidR="00E71193" w:rsidRPr="00340BC8">
        <w:rPr>
          <w:rFonts w:ascii="Calibri" w:hAnsi="Calibri" w:cs="Calibri"/>
        </w:rPr>
        <w:t xml:space="preserve"> tržeb: </w:t>
      </w:r>
      <w:r w:rsidR="00E71193" w:rsidRPr="00340BC8">
        <w:rPr>
          <w:rFonts w:ascii="Calibri" w:hAnsi="Calibri" w:cs="Calibri"/>
          <w:i/>
          <w:iCs/>
        </w:rPr>
        <w:t xml:space="preserve">„Výše průměrné transakce </w:t>
      </w:r>
      <w:r w:rsidR="00AD2FFB">
        <w:rPr>
          <w:rFonts w:ascii="Calibri" w:hAnsi="Calibri" w:cs="Calibri"/>
          <w:i/>
          <w:iCs/>
        </w:rPr>
        <w:t xml:space="preserve">skrze naše terminály </w:t>
      </w:r>
      <w:r w:rsidR="00E71193" w:rsidRPr="00340BC8">
        <w:rPr>
          <w:rFonts w:ascii="Calibri" w:hAnsi="Calibri" w:cs="Calibri"/>
          <w:i/>
          <w:iCs/>
        </w:rPr>
        <w:t>se</w:t>
      </w:r>
      <w:r w:rsidR="00F6005D">
        <w:rPr>
          <w:rFonts w:ascii="Calibri" w:hAnsi="Calibri" w:cs="Calibri"/>
          <w:i/>
          <w:iCs/>
        </w:rPr>
        <w:t xml:space="preserve"> </w:t>
      </w:r>
      <w:r w:rsidR="00E71193" w:rsidRPr="00340BC8">
        <w:rPr>
          <w:rFonts w:ascii="Calibri" w:hAnsi="Calibri" w:cs="Calibri"/>
          <w:i/>
          <w:iCs/>
        </w:rPr>
        <w:t xml:space="preserve">pohybuje okolo </w:t>
      </w:r>
      <w:r w:rsidR="00120479">
        <w:rPr>
          <w:rFonts w:ascii="Calibri" w:hAnsi="Calibri" w:cs="Calibri"/>
          <w:i/>
          <w:iCs/>
        </w:rPr>
        <w:t>500</w:t>
      </w:r>
      <w:r w:rsidR="00120479" w:rsidRPr="00340BC8">
        <w:rPr>
          <w:rFonts w:ascii="Calibri" w:hAnsi="Calibri" w:cs="Calibri"/>
          <w:i/>
          <w:iCs/>
        </w:rPr>
        <w:t xml:space="preserve"> </w:t>
      </w:r>
      <w:r w:rsidR="00E71193">
        <w:rPr>
          <w:rFonts w:ascii="Calibri" w:hAnsi="Calibri" w:cs="Calibri"/>
          <w:i/>
          <w:iCs/>
        </w:rPr>
        <w:t>korun</w:t>
      </w:r>
      <w:r w:rsidR="00E71193" w:rsidRPr="00340BC8">
        <w:rPr>
          <w:rFonts w:ascii="Calibri" w:hAnsi="Calibri" w:cs="Calibri"/>
          <w:i/>
          <w:iCs/>
        </w:rPr>
        <w:t xml:space="preserve">. Průměrný </w:t>
      </w:r>
      <w:r w:rsidR="00E71193">
        <w:rPr>
          <w:rFonts w:ascii="Calibri" w:hAnsi="Calibri" w:cs="Calibri"/>
          <w:i/>
          <w:iCs/>
        </w:rPr>
        <w:t xml:space="preserve">měsíční </w:t>
      </w:r>
      <w:r w:rsidR="00E71193" w:rsidRPr="00340BC8">
        <w:rPr>
          <w:rFonts w:ascii="Calibri" w:hAnsi="Calibri" w:cs="Calibri"/>
          <w:i/>
          <w:iCs/>
        </w:rPr>
        <w:t xml:space="preserve">obrat na jednoho obchodníka je pak cca </w:t>
      </w:r>
      <w:r w:rsidR="00C44C78">
        <w:rPr>
          <w:rFonts w:ascii="Calibri" w:hAnsi="Calibri" w:cs="Calibri"/>
          <w:i/>
          <w:iCs/>
        </w:rPr>
        <w:t xml:space="preserve">140 000 </w:t>
      </w:r>
      <w:r w:rsidR="00E71193">
        <w:rPr>
          <w:rFonts w:ascii="Calibri" w:hAnsi="Calibri" w:cs="Calibri"/>
          <w:i/>
          <w:iCs/>
        </w:rPr>
        <w:t>korun. Ze zkušeností obchodníků víme, že díky bezhotovostním platbám se jim zvýšily tržby až o 30 procent</w:t>
      </w:r>
      <w:r w:rsidR="00E71193" w:rsidRPr="00340BC8">
        <w:rPr>
          <w:rFonts w:ascii="Calibri" w:hAnsi="Calibri" w:cs="Calibri"/>
          <w:i/>
          <w:iCs/>
        </w:rPr>
        <w:t>,“</w:t>
      </w:r>
      <w:r w:rsidR="00E71193" w:rsidRPr="00340BC8">
        <w:rPr>
          <w:rFonts w:ascii="Calibri" w:hAnsi="Calibri" w:cs="Calibri"/>
        </w:rPr>
        <w:t xml:space="preserve"> </w:t>
      </w:r>
      <w:r w:rsidR="00287DEC">
        <w:rPr>
          <w:rFonts w:ascii="Calibri" w:hAnsi="Calibri" w:cs="Calibri"/>
        </w:rPr>
        <w:t>uzavírá</w:t>
      </w:r>
      <w:r w:rsidR="00E71193" w:rsidRPr="00340BC8">
        <w:rPr>
          <w:rFonts w:ascii="Calibri" w:hAnsi="Calibri" w:cs="Calibri"/>
        </w:rPr>
        <w:t xml:space="preserve"> Jitka Pal</w:t>
      </w:r>
      <w:r w:rsidR="00E71193">
        <w:rPr>
          <w:rFonts w:ascii="Calibri" w:hAnsi="Calibri" w:cs="Calibri"/>
        </w:rPr>
        <w:t>a</w:t>
      </w:r>
      <w:r w:rsidR="00E71193" w:rsidRPr="00340BC8">
        <w:rPr>
          <w:rFonts w:ascii="Calibri" w:hAnsi="Calibri" w:cs="Calibri"/>
        </w:rPr>
        <w:t>tová.</w:t>
      </w:r>
    </w:p>
    <w:p w14:paraId="196FE326" w14:textId="31709E51" w:rsidR="00331782" w:rsidRPr="008E536C" w:rsidRDefault="00331782" w:rsidP="008E536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18"/>
          <w:szCs w:val="18"/>
        </w:rPr>
        <w:t>O průzkumu</w:t>
      </w:r>
    </w:p>
    <w:p w14:paraId="246177B9" w14:textId="113FC2F7" w:rsidR="00331782" w:rsidRPr="00331782" w:rsidRDefault="00760094" w:rsidP="0085093C">
      <w:pPr>
        <w:spacing w:after="0"/>
        <w:jc w:val="both"/>
        <w:rPr>
          <w:rFonts w:cstheme="minorHAnsi"/>
          <w:sz w:val="18"/>
          <w:szCs w:val="18"/>
        </w:rPr>
      </w:pPr>
      <w:r w:rsidRPr="00760094">
        <w:rPr>
          <w:rFonts w:cstheme="minorHAnsi"/>
          <w:sz w:val="18"/>
          <w:szCs w:val="18"/>
        </w:rPr>
        <w:t xml:space="preserve">Průzkum </w:t>
      </w:r>
      <w:r w:rsidR="00CC7F75">
        <w:rPr>
          <w:rFonts w:cstheme="minorHAnsi"/>
          <w:sz w:val="18"/>
          <w:szCs w:val="18"/>
        </w:rPr>
        <w:t xml:space="preserve">na téma </w:t>
      </w:r>
      <w:r w:rsidR="00331DCB">
        <w:rPr>
          <w:rFonts w:cstheme="minorHAnsi"/>
          <w:sz w:val="18"/>
          <w:szCs w:val="18"/>
        </w:rPr>
        <w:t>C</w:t>
      </w:r>
      <w:r w:rsidR="00CC7F75">
        <w:rPr>
          <w:rFonts w:cstheme="minorHAnsi"/>
          <w:sz w:val="18"/>
          <w:szCs w:val="18"/>
        </w:rPr>
        <w:t>hování spojené s bezkontaktními platbami</w:t>
      </w:r>
      <w:r w:rsidRPr="00760094">
        <w:rPr>
          <w:rFonts w:cstheme="minorHAnsi"/>
          <w:sz w:val="18"/>
          <w:szCs w:val="18"/>
        </w:rPr>
        <w:t xml:space="preserve"> realizovala společnost </w:t>
      </w:r>
      <w:r>
        <w:rPr>
          <w:rFonts w:cstheme="minorHAnsi"/>
          <w:sz w:val="18"/>
          <w:szCs w:val="18"/>
        </w:rPr>
        <w:t>KB SmartPay</w:t>
      </w:r>
      <w:r w:rsidRPr="00760094">
        <w:rPr>
          <w:rFonts w:cstheme="minorHAnsi"/>
          <w:sz w:val="18"/>
          <w:szCs w:val="18"/>
        </w:rPr>
        <w:t xml:space="preserve"> pomocí nástroje Instant Research agentury Ipsos. Sběr dat probíhal on-line </w:t>
      </w:r>
      <w:r w:rsidR="006555A9">
        <w:rPr>
          <w:rFonts w:cstheme="minorHAnsi"/>
          <w:sz w:val="18"/>
          <w:szCs w:val="18"/>
        </w:rPr>
        <w:t>během</w:t>
      </w:r>
      <w:r w:rsidRPr="00760094">
        <w:rPr>
          <w:rFonts w:cstheme="minorHAnsi"/>
          <w:sz w:val="18"/>
          <w:szCs w:val="18"/>
        </w:rPr>
        <w:t xml:space="preserve"> prosince 202</w:t>
      </w:r>
      <w:r>
        <w:rPr>
          <w:rFonts w:cstheme="minorHAnsi"/>
          <w:sz w:val="18"/>
          <w:szCs w:val="18"/>
        </w:rPr>
        <w:t>2</w:t>
      </w:r>
      <w:r w:rsidRPr="00760094">
        <w:rPr>
          <w:rFonts w:cstheme="minorHAnsi"/>
          <w:sz w:val="18"/>
          <w:szCs w:val="18"/>
        </w:rPr>
        <w:t xml:space="preserve"> </w:t>
      </w:r>
      <w:r w:rsidR="00331DCB">
        <w:rPr>
          <w:rFonts w:cstheme="minorHAnsi"/>
          <w:sz w:val="18"/>
          <w:szCs w:val="18"/>
        </w:rPr>
        <w:t>od</w:t>
      </w:r>
      <w:r w:rsidRPr="00760094">
        <w:rPr>
          <w:rFonts w:cstheme="minorHAnsi"/>
          <w:sz w:val="18"/>
          <w:szCs w:val="18"/>
        </w:rPr>
        <w:t xml:space="preserve"> celkem </w:t>
      </w:r>
      <w:r w:rsidR="00BD1245">
        <w:rPr>
          <w:rFonts w:cstheme="minorHAnsi"/>
          <w:sz w:val="18"/>
          <w:szCs w:val="18"/>
        </w:rPr>
        <w:t>514</w:t>
      </w:r>
      <w:r w:rsidRPr="00760094">
        <w:rPr>
          <w:rFonts w:cstheme="minorHAnsi"/>
          <w:sz w:val="18"/>
          <w:szCs w:val="18"/>
        </w:rPr>
        <w:t xml:space="preserve"> respondent</w:t>
      </w:r>
      <w:r w:rsidR="00331DCB">
        <w:rPr>
          <w:rFonts w:cstheme="minorHAnsi"/>
          <w:sz w:val="18"/>
          <w:szCs w:val="18"/>
        </w:rPr>
        <w:t>ů</w:t>
      </w:r>
      <w:r w:rsidRPr="00760094">
        <w:rPr>
          <w:rFonts w:cstheme="minorHAnsi"/>
          <w:sz w:val="18"/>
          <w:szCs w:val="18"/>
        </w:rPr>
        <w:t>. Dotazováni byli</w:t>
      </w:r>
      <w:r w:rsidR="00D67F63">
        <w:rPr>
          <w:rFonts w:cstheme="minorHAnsi"/>
          <w:sz w:val="18"/>
          <w:szCs w:val="18"/>
        </w:rPr>
        <w:t xml:space="preserve"> obyvatelé</w:t>
      </w:r>
      <w:r w:rsidR="000A5998">
        <w:rPr>
          <w:rFonts w:cstheme="minorHAnsi"/>
          <w:sz w:val="18"/>
          <w:szCs w:val="18"/>
        </w:rPr>
        <w:t xml:space="preserve"> ČR</w:t>
      </w:r>
      <w:r w:rsidRPr="00760094">
        <w:rPr>
          <w:rFonts w:cstheme="minorHAnsi"/>
          <w:sz w:val="18"/>
          <w:szCs w:val="18"/>
        </w:rPr>
        <w:t xml:space="preserve"> </w:t>
      </w:r>
      <w:r w:rsidR="00AE4DEB">
        <w:rPr>
          <w:rFonts w:cstheme="minorHAnsi"/>
          <w:sz w:val="18"/>
          <w:szCs w:val="18"/>
        </w:rPr>
        <w:t>napříč společenskými skupinami</w:t>
      </w:r>
      <w:r w:rsidR="00236403">
        <w:rPr>
          <w:rFonts w:cstheme="minorHAnsi"/>
          <w:sz w:val="18"/>
          <w:szCs w:val="18"/>
        </w:rPr>
        <w:t>.</w:t>
      </w:r>
    </w:p>
    <w:p w14:paraId="0E696757" w14:textId="77777777" w:rsidR="00242852" w:rsidRPr="005D1641" w:rsidRDefault="00242852" w:rsidP="00976F8D">
      <w:pPr>
        <w:pStyle w:val="paragraph"/>
        <w:spacing w:after="0" w:afterAutospacing="0"/>
        <w:textAlignment w:val="baseline"/>
        <w:rPr>
          <w:rStyle w:val="normaltextrun"/>
          <w:rFonts w:cs="Calibri"/>
          <w:b/>
          <w:bCs/>
          <w:sz w:val="18"/>
          <w:szCs w:val="18"/>
          <w:lang w:val="cs-CZ"/>
        </w:rPr>
      </w:pPr>
      <w:r w:rsidRPr="005D1641">
        <w:rPr>
          <w:rStyle w:val="normaltextrun"/>
          <w:rFonts w:cs="Calibri"/>
          <w:b/>
          <w:bCs/>
          <w:sz w:val="18"/>
          <w:szCs w:val="18"/>
          <w:lang w:val="cs-CZ"/>
        </w:rPr>
        <w:lastRenderedPageBreak/>
        <w:t xml:space="preserve">O společnosti KB SmartPay </w:t>
      </w:r>
    </w:p>
    <w:p w14:paraId="50FCD88F" w14:textId="6205AD52" w:rsidR="003760A0" w:rsidRDefault="00242852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KB SmartPay je obchodní značka společnosti Worldline Czech </w:t>
      </w:r>
      <w:r>
        <w:rPr>
          <w:rStyle w:val="normaltextrun"/>
          <w:rFonts w:cs="Calibri"/>
          <w:sz w:val="18"/>
          <w:szCs w:val="18"/>
          <w:lang w:eastAsia="sk-SK"/>
        </w:rPr>
        <w:t>R</w:t>
      </w:r>
      <w:r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25.000 zákazníků a provozuje více než 50.000 platebních terminálů a platebních bran. Více informací naleznete na webových stránkách </w:t>
      </w:r>
      <w:hyperlink r:id="rId12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0F292F8B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 xml:space="preserve">Worldline </w:t>
      </w:r>
    </w:p>
    <w:p w14:paraId="6F9AAA83" w14:textId="1091E320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Worldline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transakčních služeb. Poskytuje trvale udržitelné služby nové generace a umožňuje tak svým zákazníkům nabídnout koncovým spotřebitelům inovativní a moderní řešení pro jejich potřeby. Společnost Worldline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20.000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3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1C1AA41F" w14:textId="77777777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77777777" w:rsidR="008E536C" w:rsidRDefault="008E536C" w:rsidP="008E536C">
      <w:pPr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Crest</w:t>
      </w:r>
      <w:proofErr w:type="spellEnd"/>
      <w:r>
        <w:rPr>
          <w:rFonts w:ascii="Calibri" w:hAnsi="Calibri" w:cs="Calibri"/>
        </w:rPr>
        <w:t xml:space="preserve"> Communications</w:t>
      </w:r>
    </w:p>
    <w:p w14:paraId="1E1A0297" w14:textId="77777777" w:rsidR="008E536C" w:rsidRPr="00FD147F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Petra Kopecká</w:t>
      </w:r>
    </w:p>
    <w:p w14:paraId="66E2191E" w14:textId="77777777" w:rsidR="008E536C" w:rsidRPr="00340BC8" w:rsidRDefault="008E536C" w:rsidP="008E536C">
      <w:pPr>
        <w:spacing w:after="0"/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</w:rPr>
        <w:t>mobil: +420</w:t>
      </w:r>
      <w:r>
        <w:rPr>
          <w:rFonts w:ascii="Calibri" w:hAnsi="Calibri" w:cs="Calibri"/>
        </w:rPr>
        <w:t> 725 582 965</w:t>
      </w:r>
    </w:p>
    <w:p w14:paraId="0AEA91EE" w14:textId="77777777" w:rsidR="008E536C" w:rsidRDefault="008E536C" w:rsidP="008E536C">
      <w:pPr>
        <w:spacing w:after="0"/>
        <w:jc w:val="both"/>
        <w:rPr>
          <w:rStyle w:val="Siln"/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petra.kopecka@crestcom.cz</w:t>
      </w:r>
      <w:r w:rsidRPr="00340BC8">
        <w:rPr>
          <w:rFonts w:ascii="Calibri" w:hAnsi="Calibri" w:cs="Calibri"/>
        </w:rPr>
        <w:t xml:space="preserve"> </w:t>
      </w:r>
    </w:p>
    <w:p w14:paraId="47C2ED69" w14:textId="77777777" w:rsidR="008E536C" w:rsidRDefault="008E536C" w:rsidP="00B67A36">
      <w:pPr>
        <w:jc w:val="both"/>
      </w:pPr>
    </w:p>
    <w:sectPr w:rsidR="008E53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80FA" w14:textId="77777777" w:rsidR="00A00418" w:rsidRDefault="00A00418" w:rsidP="00242852">
      <w:pPr>
        <w:spacing w:after="0" w:line="240" w:lineRule="auto"/>
      </w:pPr>
      <w:r>
        <w:separator/>
      </w:r>
    </w:p>
  </w:endnote>
  <w:endnote w:type="continuationSeparator" w:id="0">
    <w:p w14:paraId="51E8C3AA" w14:textId="77777777" w:rsidR="00A00418" w:rsidRDefault="00A00418" w:rsidP="00242852">
      <w:pPr>
        <w:spacing w:after="0" w:line="240" w:lineRule="auto"/>
      </w:pPr>
      <w:r>
        <w:continuationSeparator/>
      </w:r>
    </w:p>
  </w:endnote>
  <w:endnote w:type="continuationNotice" w:id="1">
    <w:p w14:paraId="4CD5045B" w14:textId="77777777" w:rsidR="00A00418" w:rsidRDefault="00A00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78CC" w14:textId="77777777" w:rsidR="008A7915" w:rsidRDefault="008A7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E609" w14:textId="77777777" w:rsidR="008A7915" w:rsidRDefault="008A79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D4EE" w14:textId="77777777" w:rsidR="008A7915" w:rsidRDefault="008A7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0FF5" w14:textId="77777777" w:rsidR="00A00418" w:rsidRDefault="00A00418" w:rsidP="00242852">
      <w:pPr>
        <w:spacing w:after="0" w:line="240" w:lineRule="auto"/>
      </w:pPr>
      <w:r>
        <w:separator/>
      </w:r>
    </w:p>
  </w:footnote>
  <w:footnote w:type="continuationSeparator" w:id="0">
    <w:p w14:paraId="31C74301" w14:textId="77777777" w:rsidR="00A00418" w:rsidRDefault="00A00418" w:rsidP="00242852">
      <w:pPr>
        <w:spacing w:after="0" w:line="240" w:lineRule="auto"/>
      </w:pPr>
      <w:r>
        <w:continuationSeparator/>
      </w:r>
    </w:p>
  </w:footnote>
  <w:footnote w:type="continuationNotice" w:id="1">
    <w:p w14:paraId="09231550" w14:textId="77777777" w:rsidR="00A00418" w:rsidRDefault="00A00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CC43" w14:textId="77777777" w:rsidR="008A7915" w:rsidRDefault="008A7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39F10A8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497580" cy="1133475"/>
          <wp:effectExtent l="0" t="0" r="762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6741" w14:textId="77777777" w:rsidR="008A7915" w:rsidRDefault="008A79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4A2A"/>
    <w:rsid w:val="000162E0"/>
    <w:rsid w:val="000238EF"/>
    <w:rsid w:val="00031C78"/>
    <w:rsid w:val="000338D6"/>
    <w:rsid w:val="00034825"/>
    <w:rsid w:val="00053CA2"/>
    <w:rsid w:val="0005465B"/>
    <w:rsid w:val="000850B0"/>
    <w:rsid w:val="000A2B15"/>
    <w:rsid w:val="000A5998"/>
    <w:rsid w:val="000A7650"/>
    <w:rsid w:val="000B3492"/>
    <w:rsid w:val="000B7885"/>
    <w:rsid w:val="000C1E27"/>
    <w:rsid w:val="000D07AA"/>
    <w:rsid w:val="000D7FD9"/>
    <w:rsid w:val="000E6963"/>
    <w:rsid w:val="000F14AD"/>
    <w:rsid w:val="000F163F"/>
    <w:rsid w:val="000F2C1D"/>
    <w:rsid w:val="000F43BF"/>
    <w:rsid w:val="000F6DA1"/>
    <w:rsid w:val="00120479"/>
    <w:rsid w:val="0012188D"/>
    <w:rsid w:val="00133DD6"/>
    <w:rsid w:val="0013765A"/>
    <w:rsid w:val="00140C2A"/>
    <w:rsid w:val="0015754B"/>
    <w:rsid w:val="00157F4D"/>
    <w:rsid w:val="00160686"/>
    <w:rsid w:val="00161C3C"/>
    <w:rsid w:val="00165EBC"/>
    <w:rsid w:val="0018091A"/>
    <w:rsid w:val="00186C48"/>
    <w:rsid w:val="00195181"/>
    <w:rsid w:val="001964B7"/>
    <w:rsid w:val="00197B9E"/>
    <w:rsid w:val="001A0587"/>
    <w:rsid w:val="001A05CA"/>
    <w:rsid w:val="001B522E"/>
    <w:rsid w:val="001C54F9"/>
    <w:rsid w:val="001C717C"/>
    <w:rsid w:val="001D783E"/>
    <w:rsid w:val="001E048A"/>
    <w:rsid w:val="001E38EF"/>
    <w:rsid w:val="00200487"/>
    <w:rsid w:val="00202BBD"/>
    <w:rsid w:val="00207DFB"/>
    <w:rsid w:val="00217EA9"/>
    <w:rsid w:val="0022250F"/>
    <w:rsid w:val="00232D6A"/>
    <w:rsid w:val="002352D7"/>
    <w:rsid w:val="00235657"/>
    <w:rsid w:val="00236403"/>
    <w:rsid w:val="0023F2A8"/>
    <w:rsid w:val="002403E7"/>
    <w:rsid w:val="00242852"/>
    <w:rsid w:val="00242D46"/>
    <w:rsid w:val="00251E95"/>
    <w:rsid w:val="002604FB"/>
    <w:rsid w:val="00267A9B"/>
    <w:rsid w:val="00270046"/>
    <w:rsid w:val="00273ABF"/>
    <w:rsid w:val="002741A5"/>
    <w:rsid w:val="00287DEC"/>
    <w:rsid w:val="00291A4A"/>
    <w:rsid w:val="002A0728"/>
    <w:rsid w:val="002C55D7"/>
    <w:rsid w:val="002D38A7"/>
    <w:rsid w:val="002D4E46"/>
    <w:rsid w:val="002E08CB"/>
    <w:rsid w:val="002E3023"/>
    <w:rsid w:val="002F11D7"/>
    <w:rsid w:val="00303B37"/>
    <w:rsid w:val="00317702"/>
    <w:rsid w:val="00331782"/>
    <w:rsid w:val="00331D34"/>
    <w:rsid w:val="00331DCB"/>
    <w:rsid w:val="00336274"/>
    <w:rsid w:val="00340BC8"/>
    <w:rsid w:val="00341B3B"/>
    <w:rsid w:val="003461CA"/>
    <w:rsid w:val="003513D9"/>
    <w:rsid w:val="003579E1"/>
    <w:rsid w:val="00360DE9"/>
    <w:rsid w:val="0036702A"/>
    <w:rsid w:val="003760A0"/>
    <w:rsid w:val="00376277"/>
    <w:rsid w:val="0037643C"/>
    <w:rsid w:val="00391357"/>
    <w:rsid w:val="00394863"/>
    <w:rsid w:val="00397B55"/>
    <w:rsid w:val="003A0C97"/>
    <w:rsid w:val="003A325A"/>
    <w:rsid w:val="003A6C7C"/>
    <w:rsid w:val="003A79D2"/>
    <w:rsid w:val="003B3028"/>
    <w:rsid w:val="003B3FBD"/>
    <w:rsid w:val="003B5B81"/>
    <w:rsid w:val="003B5BC3"/>
    <w:rsid w:val="003B6B6D"/>
    <w:rsid w:val="003D5694"/>
    <w:rsid w:val="003D57B8"/>
    <w:rsid w:val="003E30DB"/>
    <w:rsid w:val="003E5873"/>
    <w:rsid w:val="003F6865"/>
    <w:rsid w:val="004162F2"/>
    <w:rsid w:val="004165DD"/>
    <w:rsid w:val="00434471"/>
    <w:rsid w:val="004351F3"/>
    <w:rsid w:val="0044391F"/>
    <w:rsid w:val="0044701C"/>
    <w:rsid w:val="0045190E"/>
    <w:rsid w:val="004534D8"/>
    <w:rsid w:val="004614E5"/>
    <w:rsid w:val="00471D6D"/>
    <w:rsid w:val="00485B54"/>
    <w:rsid w:val="0048699D"/>
    <w:rsid w:val="00494196"/>
    <w:rsid w:val="0049535E"/>
    <w:rsid w:val="004A70C3"/>
    <w:rsid w:val="004C1027"/>
    <w:rsid w:val="004C240D"/>
    <w:rsid w:val="004C357A"/>
    <w:rsid w:val="004C40BA"/>
    <w:rsid w:val="004C61EC"/>
    <w:rsid w:val="004C7945"/>
    <w:rsid w:val="004C7A7E"/>
    <w:rsid w:val="004D1C49"/>
    <w:rsid w:val="004D1FA4"/>
    <w:rsid w:val="004D305C"/>
    <w:rsid w:val="004D7229"/>
    <w:rsid w:val="004E3D98"/>
    <w:rsid w:val="004F0A13"/>
    <w:rsid w:val="004F5FD4"/>
    <w:rsid w:val="004F6D7A"/>
    <w:rsid w:val="00501297"/>
    <w:rsid w:val="005041BC"/>
    <w:rsid w:val="00504755"/>
    <w:rsid w:val="00512825"/>
    <w:rsid w:val="00516104"/>
    <w:rsid w:val="00517F14"/>
    <w:rsid w:val="00532CA9"/>
    <w:rsid w:val="0053588E"/>
    <w:rsid w:val="0054010E"/>
    <w:rsid w:val="00541093"/>
    <w:rsid w:val="00557F24"/>
    <w:rsid w:val="00573320"/>
    <w:rsid w:val="005742D8"/>
    <w:rsid w:val="00575F70"/>
    <w:rsid w:val="005776A6"/>
    <w:rsid w:val="00580805"/>
    <w:rsid w:val="00583835"/>
    <w:rsid w:val="00597FE6"/>
    <w:rsid w:val="005B332D"/>
    <w:rsid w:val="005D2213"/>
    <w:rsid w:val="005E05C6"/>
    <w:rsid w:val="005E42F0"/>
    <w:rsid w:val="005F2D19"/>
    <w:rsid w:val="005F6BDD"/>
    <w:rsid w:val="006061E1"/>
    <w:rsid w:val="00615529"/>
    <w:rsid w:val="00616130"/>
    <w:rsid w:val="00617302"/>
    <w:rsid w:val="00626DCD"/>
    <w:rsid w:val="006541FB"/>
    <w:rsid w:val="006555A9"/>
    <w:rsid w:val="00661FC8"/>
    <w:rsid w:val="006649AB"/>
    <w:rsid w:val="00667FD6"/>
    <w:rsid w:val="00676B1C"/>
    <w:rsid w:val="00682533"/>
    <w:rsid w:val="00685850"/>
    <w:rsid w:val="0068632A"/>
    <w:rsid w:val="00687691"/>
    <w:rsid w:val="00690567"/>
    <w:rsid w:val="00690D20"/>
    <w:rsid w:val="00696E97"/>
    <w:rsid w:val="00697F1A"/>
    <w:rsid w:val="006B1BA7"/>
    <w:rsid w:val="006C3879"/>
    <w:rsid w:val="006C4DCA"/>
    <w:rsid w:val="006C76D7"/>
    <w:rsid w:val="006D0675"/>
    <w:rsid w:val="006D7202"/>
    <w:rsid w:val="006D79C9"/>
    <w:rsid w:val="006E0B08"/>
    <w:rsid w:val="006E2CF4"/>
    <w:rsid w:val="00716F93"/>
    <w:rsid w:val="007202C7"/>
    <w:rsid w:val="007207D2"/>
    <w:rsid w:val="00720C1F"/>
    <w:rsid w:val="007222E8"/>
    <w:rsid w:val="00723C59"/>
    <w:rsid w:val="00734F9D"/>
    <w:rsid w:val="00735074"/>
    <w:rsid w:val="00736F9F"/>
    <w:rsid w:val="00745331"/>
    <w:rsid w:val="00751BA0"/>
    <w:rsid w:val="00760094"/>
    <w:rsid w:val="00762322"/>
    <w:rsid w:val="0076546B"/>
    <w:rsid w:val="00775CCB"/>
    <w:rsid w:val="00776EF0"/>
    <w:rsid w:val="0077700C"/>
    <w:rsid w:val="0079121D"/>
    <w:rsid w:val="00792597"/>
    <w:rsid w:val="00792B34"/>
    <w:rsid w:val="00792CB9"/>
    <w:rsid w:val="007A33FF"/>
    <w:rsid w:val="007B4B69"/>
    <w:rsid w:val="007B6C64"/>
    <w:rsid w:val="007B6D99"/>
    <w:rsid w:val="007C2108"/>
    <w:rsid w:val="007C3837"/>
    <w:rsid w:val="007C604A"/>
    <w:rsid w:val="007D5BA1"/>
    <w:rsid w:val="007D6A3F"/>
    <w:rsid w:val="007E0C1D"/>
    <w:rsid w:val="007F1CD3"/>
    <w:rsid w:val="007F7E0D"/>
    <w:rsid w:val="00820826"/>
    <w:rsid w:val="00823FD4"/>
    <w:rsid w:val="008311E1"/>
    <w:rsid w:val="0083332E"/>
    <w:rsid w:val="0085093C"/>
    <w:rsid w:val="008523CC"/>
    <w:rsid w:val="00854CEB"/>
    <w:rsid w:val="00856B7A"/>
    <w:rsid w:val="0086267A"/>
    <w:rsid w:val="00870C72"/>
    <w:rsid w:val="008719A1"/>
    <w:rsid w:val="00874B2B"/>
    <w:rsid w:val="00875BAA"/>
    <w:rsid w:val="00876043"/>
    <w:rsid w:val="00876440"/>
    <w:rsid w:val="00881CF0"/>
    <w:rsid w:val="00885D2B"/>
    <w:rsid w:val="008970AB"/>
    <w:rsid w:val="008A38F0"/>
    <w:rsid w:val="008A56FB"/>
    <w:rsid w:val="008A7915"/>
    <w:rsid w:val="008B4503"/>
    <w:rsid w:val="008B4C64"/>
    <w:rsid w:val="008B7134"/>
    <w:rsid w:val="008D13C7"/>
    <w:rsid w:val="008E23C3"/>
    <w:rsid w:val="008E536C"/>
    <w:rsid w:val="008E5770"/>
    <w:rsid w:val="008F7310"/>
    <w:rsid w:val="0090623B"/>
    <w:rsid w:val="009066A4"/>
    <w:rsid w:val="00911023"/>
    <w:rsid w:val="00925A63"/>
    <w:rsid w:val="00927DDD"/>
    <w:rsid w:val="00936BD2"/>
    <w:rsid w:val="0094318B"/>
    <w:rsid w:val="009432F1"/>
    <w:rsid w:val="00945C41"/>
    <w:rsid w:val="009460A2"/>
    <w:rsid w:val="00963F24"/>
    <w:rsid w:val="00972EFC"/>
    <w:rsid w:val="00976F8D"/>
    <w:rsid w:val="00977909"/>
    <w:rsid w:val="0099224E"/>
    <w:rsid w:val="009B33DA"/>
    <w:rsid w:val="009B37D9"/>
    <w:rsid w:val="009B46F3"/>
    <w:rsid w:val="009C158D"/>
    <w:rsid w:val="009E5DCE"/>
    <w:rsid w:val="009F42BA"/>
    <w:rsid w:val="00A00418"/>
    <w:rsid w:val="00A0105E"/>
    <w:rsid w:val="00A07B9A"/>
    <w:rsid w:val="00A16DFD"/>
    <w:rsid w:val="00A31F77"/>
    <w:rsid w:val="00A377F4"/>
    <w:rsid w:val="00A37EED"/>
    <w:rsid w:val="00A576DD"/>
    <w:rsid w:val="00A57B29"/>
    <w:rsid w:val="00A64FDD"/>
    <w:rsid w:val="00A7185B"/>
    <w:rsid w:val="00A819E3"/>
    <w:rsid w:val="00A94A4B"/>
    <w:rsid w:val="00A957DF"/>
    <w:rsid w:val="00AA3C09"/>
    <w:rsid w:val="00AA7DA1"/>
    <w:rsid w:val="00AC0FCD"/>
    <w:rsid w:val="00AC5B7C"/>
    <w:rsid w:val="00AC64B7"/>
    <w:rsid w:val="00AC6954"/>
    <w:rsid w:val="00AD2FFB"/>
    <w:rsid w:val="00AE118A"/>
    <w:rsid w:val="00AE4DEB"/>
    <w:rsid w:val="00AE5706"/>
    <w:rsid w:val="00AF1556"/>
    <w:rsid w:val="00AF5789"/>
    <w:rsid w:val="00B00B26"/>
    <w:rsid w:val="00B066D1"/>
    <w:rsid w:val="00B2381A"/>
    <w:rsid w:val="00B36715"/>
    <w:rsid w:val="00B51A14"/>
    <w:rsid w:val="00B57849"/>
    <w:rsid w:val="00B60A55"/>
    <w:rsid w:val="00B67433"/>
    <w:rsid w:val="00B675E6"/>
    <w:rsid w:val="00B67A36"/>
    <w:rsid w:val="00B72BB5"/>
    <w:rsid w:val="00B73BA3"/>
    <w:rsid w:val="00B8069B"/>
    <w:rsid w:val="00B8069F"/>
    <w:rsid w:val="00B83AB1"/>
    <w:rsid w:val="00B87B8B"/>
    <w:rsid w:val="00B950B7"/>
    <w:rsid w:val="00BB0ABF"/>
    <w:rsid w:val="00BB4DBC"/>
    <w:rsid w:val="00BC5525"/>
    <w:rsid w:val="00BD0C17"/>
    <w:rsid w:val="00BD1245"/>
    <w:rsid w:val="00BD5499"/>
    <w:rsid w:val="00BE0327"/>
    <w:rsid w:val="00BE29ED"/>
    <w:rsid w:val="00C04E64"/>
    <w:rsid w:val="00C0599F"/>
    <w:rsid w:val="00C12EF9"/>
    <w:rsid w:val="00C14917"/>
    <w:rsid w:val="00C14F13"/>
    <w:rsid w:val="00C20B06"/>
    <w:rsid w:val="00C24FCA"/>
    <w:rsid w:val="00C3232E"/>
    <w:rsid w:val="00C35028"/>
    <w:rsid w:val="00C408E5"/>
    <w:rsid w:val="00C41119"/>
    <w:rsid w:val="00C42195"/>
    <w:rsid w:val="00C42D8E"/>
    <w:rsid w:val="00C44C78"/>
    <w:rsid w:val="00C45E4D"/>
    <w:rsid w:val="00C47EB3"/>
    <w:rsid w:val="00C56C3B"/>
    <w:rsid w:val="00C6062A"/>
    <w:rsid w:val="00C637EA"/>
    <w:rsid w:val="00C64EBA"/>
    <w:rsid w:val="00C66A96"/>
    <w:rsid w:val="00C7206D"/>
    <w:rsid w:val="00C74A37"/>
    <w:rsid w:val="00C74A6D"/>
    <w:rsid w:val="00C80401"/>
    <w:rsid w:val="00C80C5C"/>
    <w:rsid w:val="00C86315"/>
    <w:rsid w:val="00C93803"/>
    <w:rsid w:val="00CA5874"/>
    <w:rsid w:val="00CA7BDA"/>
    <w:rsid w:val="00CB09B3"/>
    <w:rsid w:val="00CB1442"/>
    <w:rsid w:val="00CB2CC9"/>
    <w:rsid w:val="00CB7F19"/>
    <w:rsid w:val="00CC3296"/>
    <w:rsid w:val="00CC4F2F"/>
    <w:rsid w:val="00CC7F75"/>
    <w:rsid w:val="00CD15BC"/>
    <w:rsid w:val="00CD6EFA"/>
    <w:rsid w:val="00CE4F41"/>
    <w:rsid w:val="00CE5F3B"/>
    <w:rsid w:val="00CE6EF8"/>
    <w:rsid w:val="00CF7702"/>
    <w:rsid w:val="00D13618"/>
    <w:rsid w:val="00D17FFB"/>
    <w:rsid w:val="00D2210E"/>
    <w:rsid w:val="00D22734"/>
    <w:rsid w:val="00D23A37"/>
    <w:rsid w:val="00D2660B"/>
    <w:rsid w:val="00D40B7C"/>
    <w:rsid w:val="00D41351"/>
    <w:rsid w:val="00D45A15"/>
    <w:rsid w:val="00D50934"/>
    <w:rsid w:val="00D54581"/>
    <w:rsid w:val="00D54783"/>
    <w:rsid w:val="00D54E2C"/>
    <w:rsid w:val="00D56145"/>
    <w:rsid w:val="00D6462B"/>
    <w:rsid w:val="00D649A2"/>
    <w:rsid w:val="00D66A14"/>
    <w:rsid w:val="00D674DD"/>
    <w:rsid w:val="00D67F63"/>
    <w:rsid w:val="00D7344D"/>
    <w:rsid w:val="00D73B6F"/>
    <w:rsid w:val="00D74C0C"/>
    <w:rsid w:val="00D7541C"/>
    <w:rsid w:val="00D81726"/>
    <w:rsid w:val="00D94DB0"/>
    <w:rsid w:val="00DA03FF"/>
    <w:rsid w:val="00DA1995"/>
    <w:rsid w:val="00DA4DC7"/>
    <w:rsid w:val="00DA5EA6"/>
    <w:rsid w:val="00DA6E6B"/>
    <w:rsid w:val="00DC6C95"/>
    <w:rsid w:val="00DC7C4D"/>
    <w:rsid w:val="00DF220C"/>
    <w:rsid w:val="00E05391"/>
    <w:rsid w:val="00E102FA"/>
    <w:rsid w:val="00E12488"/>
    <w:rsid w:val="00E20FC0"/>
    <w:rsid w:val="00E31320"/>
    <w:rsid w:val="00E405C6"/>
    <w:rsid w:val="00E419E3"/>
    <w:rsid w:val="00E4612C"/>
    <w:rsid w:val="00E705FA"/>
    <w:rsid w:val="00E71193"/>
    <w:rsid w:val="00E75227"/>
    <w:rsid w:val="00E763B7"/>
    <w:rsid w:val="00E80A87"/>
    <w:rsid w:val="00E83322"/>
    <w:rsid w:val="00E91CA1"/>
    <w:rsid w:val="00EA008A"/>
    <w:rsid w:val="00EA381B"/>
    <w:rsid w:val="00EA7351"/>
    <w:rsid w:val="00EC1E59"/>
    <w:rsid w:val="00F026EC"/>
    <w:rsid w:val="00F06E7A"/>
    <w:rsid w:val="00F16CF3"/>
    <w:rsid w:val="00F22162"/>
    <w:rsid w:val="00F25F5B"/>
    <w:rsid w:val="00F27466"/>
    <w:rsid w:val="00F27E92"/>
    <w:rsid w:val="00F35DA1"/>
    <w:rsid w:val="00F44790"/>
    <w:rsid w:val="00F44E4F"/>
    <w:rsid w:val="00F52B2D"/>
    <w:rsid w:val="00F572EB"/>
    <w:rsid w:val="00F6005D"/>
    <w:rsid w:val="00F607E4"/>
    <w:rsid w:val="00F63204"/>
    <w:rsid w:val="00F65E7E"/>
    <w:rsid w:val="00F6644B"/>
    <w:rsid w:val="00F67135"/>
    <w:rsid w:val="00F700BF"/>
    <w:rsid w:val="00F73467"/>
    <w:rsid w:val="00F73730"/>
    <w:rsid w:val="00F73F49"/>
    <w:rsid w:val="00F7716E"/>
    <w:rsid w:val="00F85561"/>
    <w:rsid w:val="00F87644"/>
    <w:rsid w:val="00F9397C"/>
    <w:rsid w:val="00FA3C32"/>
    <w:rsid w:val="00FB2CA6"/>
    <w:rsid w:val="00FC345E"/>
    <w:rsid w:val="00FD147F"/>
    <w:rsid w:val="00FD21BA"/>
    <w:rsid w:val="00FD6D69"/>
    <w:rsid w:val="00FD7C58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242852"/>
    <w:rPr>
      <w:color w:val="0563C1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orldline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kbsmartpa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l" fontAlgn="base">
              <a:defRPr sz="1300" b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en-US" sz="1300" b="0" i="0" u="none" strike="noStrike" dirty="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</a:rPr>
              <a:t>Jak se nejčastěji zachováte, když zjistíte, že obchodník bezhotovostní platby nepřijímá, a vy u sebe požadovanou hotovost nemáte?</a:t>
            </a:r>
            <a:endParaRPr lang="en-US" sz="1300" b="0" dirty="0">
              <a:solidFill>
                <a:schemeClr val="tx1">
                  <a:lumMod val="65000"/>
                  <a:lumOff val="35000"/>
                </a:schemeClr>
              </a:solidFill>
            </a:endParaRPr>
          </a:p>
        </c:rich>
      </c:tx>
      <c:layout>
        <c:manualLayout>
          <c:xMode val="edge"/>
          <c:yMode val="edge"/>
          <c:x val="6.7611327555914591E-2"/>
          <c:y val="3.99716332476273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9884777309993354E-2"/>
          <c:y val="0.22755893711997224"/>
          <c:w val="0.64004093162185882"/>
          <c:h val="0.73947238312579433"/>
        </c:manualLayout>
      </c:layout>
      <c:pieChart>
        <c:varyColors val="1"/>
        <c:ser>
          <c:idx val="0"/>
          <c:order val="0"/>
          <c:tx>
            <c:v>6. Jak se nejčastěji zachováte, když zjistíte, že obchodník bezhotovostní platby nepřijímá, a vy u sebe požadovanou hotovost nemáte?</c:v>
          </c:tx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1776-4D54-BFA8-91D1BBF8D07E}"/>
              </c:ext>
            </c:extLst>
          </c:dPt>
          <c:dPt>
            <c:idx val="1"/>
            <c:bubble3D val="0"/>
            <c:explosion val="1"/>
            <c:spPr>
              <a:solidFill>
                <a:srgbClr val="FF9900"/>
              </a:solidFill>
            </c:spPr>
            <c:extLst>
              <c:ext xmlns:c16="http://schemas.microsoft.com/office/drawing/2014/chart" uri="{C3380CC4-5D6E-409C-BE32-E72D297353CC}">
                <c16:uniqueId val="{00000003-1776-4D54-BFA8-91D1BBF8D07E}"/>
              </c:ext>
            </c:extLst>
          </c:dPt>
          <c:dLbls>
            <c:dLbl>
              <c:idx val="0"/>
              <c:layout>
                <c:manualLayout>
                  <c:x val="-0.15999745267826454"/>
                  <c:y val="-2.491412685507822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76-4D54-BFA8-91D1BBF8D07E}"/>
                </c:ext>
              </c:extLst>
            </c:dLbl>
            <c:dLbl>
              <c:idx val="1"/>
              <c:layout>
                <c:manualLayout>
                  <c:x val="0.15113669870592567"/>
                  <c:y val="4.058534156331002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8429070175224325E-2"/>
                      <c:h val="9.31814775962835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776-4D54-BFA8-91D1BBF8D0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u="none" strike="noStrike">
                    <a:solidFill>
                      <a:schemeClr val="bg1"/>
                    </a:solidFill>
                    <a:latin typeface="Calibri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2"/>
              <c:pt idx="0">
                <c:v> Vyhledám nejbližší bankomat a hotovost si vyberu</c:v>
              </c:pt>
              <c:pt idx="1">
                <c:v> Odejdu jinam</c:v>
              </c:pt>
            </c:strLit>
          </c:cat>
          <c:val>
            <c:numLit>
              <c:formatCode>General</c:formatCode>
              <c:ptCount val="2"/>
              <c:pt idx="0">
                <c:v>245</c:v>
              </c:pt>
              <c:pt idx="1">
                <c:v>226</c:v>
              </c:pt>
            </c:numLit>
          </c:val>
          <c:extLst>
            <c:ext xmlns:c16="http://schemas.microsoft.com/office/drawing/2014/chart" uri="{C3380CC4-5D6E-409C-BE32-E72D297353CC}">
              <c16:uniqueId val="{00000004-1776-4D54-BFA8-91D1BBF8D0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 marL="0" marR="0" lvl="0" indent="0" algn="l" fontAlgn="base">
              <a:defRPr sz="10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</a:defRPr>
            </a:pPr>
            <a:endParaRPr lang="cs-CZ"/>
          </a:p>
        </c:txPr>
      </c:legendEntry>
      <c:legendEntry>
        <c:idx val="1"/>
        <c:txPr>
          <a:bodyPr/>
          <a:lstStyle/>
          <a:p>
            <a:pPr marL="0" marR="0" lvl="0" indent="0" algn="l" fontAlgn="base">
              <a:defRPr sz="10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</a:defRPr>
            </a:pPr>
            <a:endParaRPr lang="cs-CZ"/>
          </a:p>
        </c:txPr>
      </c:legendEntry>
      <c:overlay val="0"/>
      <c:spPr>
        <a:noFill/>
        <a:ln w="12700" cap="flat" cmpd="sng" algn="ctr">
          <a:noFill/>
          <a:prstDash val="solid"/>
          <a:round/>
          <a:headEnd type="none" w="med" len="med"/>
          <a:tailEnd type="none" w="med" len="med"/>
        </a:ln>
      </c:spPr>
      <c:txPr>
        <a:bodyPr/>
        <a:lstStyle/>
        <a:p>
          <a:pPr marL="0" marR="0" lvl="0" indent="0" algn="l" fontAlgn="base">
            <a:defRPr sz="10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Calibri"/>
            </a:defRPr>
          </a:pPr>
          <a:endParaRPr lang="cs-CZ"/>
        </a:p>
      </c:txPr>
    </c:legend>
    <c:plotVisOnly val="1"/>
    <c:dispBlanksAs val="gap"/>
    <c:showDLblsOverMax val="0"/>
  </c:chart>
  <c:spPr>
    <a:noFill/>
    <a:ln>
      <a:solidFill>
        <a:schemeClr val="bg2">
          <a:lumMod val="90000"/>
        </a:schemeClr>
      </a:solidFill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l" fontAlgn="base">
              <a:defRPr sz="1300" b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en-US" sz="1300" b="0" i="0" u="none" strike="noStrike" dirty="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</a:rPr>
              <a:t>Jak často platíte v obchodech bezhotovostně (tj. kartou, hodinkami, mobilem, …)?</a:t>
            </a:r>
            <a:endParaRPr lang="en-US" sz="1300" b="0" dirty="0">
              <a:solidFill>
                <a:schemeClr val="tx1">
                  <a:lumMod val="65000"/>
                  <a:lumOff val="35000"/>
                </a:schemeClr>
              </a:solidFill>
            </a:endParaRPr>
          </a:p>
        </c:rich>
      </c:tx>
      <c:layout>
        <c:manualLayout>
          <c:xMode val="edge"/>
          <c:yMode val="edge"/>
          <c:x val="5.4316401785916797E-2"/>
          <c:y val="4.89630913624183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648179973514833E-2"/>
          <c:y val="0.20902142964184028"/>
          <c:w val="0.56040327941502321"/>
          <c:h val="0.75800989060392632"/>
        </c:manualLayout>
      </c:layout>
      <c:pieChart>
        <c:varyColors val="1"/>
        <c:ser>
          <c:idx val="0"/>
          <c:order val="0"/>
          <c:tx>
            <c:v>1. Jak často platíte v obchodech bezhotovostně (tj. kartou, hodinkami, mobilem, …)?</c:v>
          </c:tx>
          <c:dPt>
            <c:idx val="0"/>
            <c:bubble3D val="0"/>
            <c:explosion val="1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6C87-4DE6-9DC9-DEA7C0D604EA}"/>
              </c:ext>
            </c:extLst>
          </c:dPt>
          <c:dPt>
            <c:idx val="1"/>
            <c:bubble3D val="0"/>
            <c:explosion val="1"/>
            <c:spPr>
              <a:solidFill>
                <a:srgbClr val="FF9900"/>
              </a:solidFill>
            </c:spPr>
            <c:extLst>
              <c:ext xmlns:c16="http://schemas.microsoft.com/office/drawing/2014/chart" uri="{C3380CC4-5D6E-409C-BE32-E72D297353CC}">
                <c16:uniqueId val="{00000003-6C87-4DE6-9DC9-DEA7C0D604EA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6C87-4DE6-9DC9-DEA7C0D604EA}"/>
              </c:ext>
            </c:extLst>
          </c:dPt>
          <c:dLbls>
            <c:dLbl>
              <c:idx val="0"/>
              <c:layout>
                <c:manualLayout>
                  <c:x val="-0.14766719416000329"/>
                  <c:y val="-0.1838547867714647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87-4DE6-9DC9-DEA7C0D604EA}"/>
                </c:ext>
              </c:extLst>
            </c:dLbl>
            <c:dLbl>
              <c:idx val="1"/>
              <c:layout>
                <c:manualLayout>
                  <c:x val="0.14080059181611826"/>
                  <c:y val="8.634490147745468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87-4DE6-9DC9-DEA7C0D604EA}"/>
                </c:ext>
              </c:extLst>
            </c:dLbl>
            <c:dLbl>
              <c:idx val="2"/>
              <c:layout>
                <c:manualLayout>
                  <c:x val="1.9783966179942152E-2"/>
                  <c:y val="0.1219338478838803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87-4DE6-9DC9-DEA7C0D604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u="none" strike="noStrike">
                    <a:solidFill>
                      <a:schemeClr val="bg1"/>
                    </a:solidFill>
                    <a:latin typeface="Calibri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3"/>
              <c:pt idx="0">
                <c:v> Neustále, téměř ve 100 % případů</c:v>
              </c:pt>
              <c:pt idx="1">
                <c:v> Občas, je to tak 50:50</c:v>
              </c:pt>
              <c:pt idx="2">
                <c:v> Nikdy</c:v>
              </c:pt>
            </c:strLit>
          </c:cat>
          <c:val>
            <c:numLit>
              <c:formatCode>General</c:formatCode>
              <c:ptCount val="3"/>
              <c:pt idx="0">
                <c:v>349</c:v>
              </c:pt>
              <c:pt idx="1">
                <c:v>140</c:v>
              </c:pt>
              <c:pt idx="2">
                <c:v>23</c:v>
              </c:pt>
            </c:numLit>
          </c:val>
          <c:extLst>
            <c:ext xmlns:c16="http://schemas.microsoft.com/office/drawing/2014/chart" uri="{C3380CC4-5D6E-409C-BE32-E72D297353CC}">
              <c16:uniqueId val="{00000006-6C87-4DE6-9DC9-DEA7C0D60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spPr>
        <a:noFill/>
        <a:ln w="12700" cap="flat" cmpd="sng" algn="ctr">
          <a:noFill/>
          <a:prstDash val="solid"/>
          <a:round/>
          <a:headEnd type="none" w="med" len="med"/>
          <a:tailEnd type="none" w="med" len="med"/>
        </a:ln>
      </c:spPr>
      <c:txPr>
        <a:bodyPr/>
        <a:lstStyle/>
        <a:p>
          <a:pPr marL="0" marR="0" lvl="0" indent="0" algn="l" fontAlgn="base">
            <a:defRPr sz="1000" b="0" i="0" u="none" strike="noStrike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Calibri"/>
            </a:defRPr>
          </a:pPr>
          <a:endParaRPr lang="cs-CZ"/>
        </a:p>
      </c:txPr>
    </c:legend>
    <c:plotVisOnly val="1"/>
    <c:dispBlanksAs val="gap"/>
    <c:showDLblsOverMax val="0"/>
  </c:chart>
  <c:spPr>
    <a:noFill/>
    <a:ln>
      <a:solidFill>
        <a:schemeClr val="bg2">
          <a:lumMod val="90000"/>
        </a:schemeClr>
      </a:solidFill>
    </a:ln>
  </c:spPr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6" ma:contentTypeDescription="Vytvoří nový dokument" ma:contentTypeScope="" ma:versionID="1c634a6de6aac6932bc14ddeaf1010b2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791617ce219d19d0cd7b3c6ba4a75b9b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B8E09-5C16-43F4-9179-C24908C22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customXml/itemProps3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3</TotalTime>
  <Pages>3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3</cp:revision>
  <dcterms:created xsi:type="dcterms:W3CDTF">2023-01-18T08:55:00Z</dcterms:created>
  <dcterms:modified xsi:type="dcterms:W3CDTF">2023-01-18T09:00:00Z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